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1ADE6" w14:textId="77777777" w:rsidR="00C274A2" w:rsidRDefault="009C2B85">
      <w:pPr>
        <w:contextualSpacing/>
      </w:pPr>
      <w:r>
        <w:t>To: Volkan Cetinkaya</w:t>
      </w:r>
    </w:p>
    <w:p w14:paraId="76190B85" w14:textId="77777777" w:rsidR="009C2B85" w:rsidRDefault="009C2B85">
      <w:pPr>
        <w:contextualSpacing/>
      </w:pPr>
      <w:r>
        <w:t>Task Team Leader</w:t>
      </w:r>
    </w:p>
    <w:p w14:paraId="39DBEBA5" w14:textId="77777777" w:rsidR="009C2B85" w:rsidRDefault="009C2B85">
      <w:pPr>
        <w:contextualSpacing/>
      </w:pPr>
      <w:r>
        <w:t>The World Bank Group</w:t>
      </w:r>
    </w:p>
    <w:p w14:paraId="44EBFC5F" w14:textId="77777777" w:rsidR="009C2B85" w:rsidRDefault="009C2B85"/>
    <w:p w14:paraId="2C3DA3C7" w14:textId="77777777" w:rsidR="009C2B85" w:rsidRDefault="009C2B85">
      <w:pPr>
        <w:rPr>
          <w:i/>
          <w:iCs/>
        </w:rPr>
      </w:pPr>
      <w:r w:rsidRPr="009C2B85">
        <w:rPr>
          <w:i/>
          <w:iCs/>
        </w:rPr>
        <w:t>Subject: Request for No Objection</w:t>
      </w:r>
    </w:p>
    <w:p w14:paraId="53C0C5E9" w14:textId="77777777" w:rsidR="00225BAB" w:rsidRDefault="00225BAB">
      <w:pPr>
        <w:rPr>
          <w:i/>
          <w:iCs/>
        </w:rPr>
      </w:pPr>
    </w:p>
    <w:p w14:paraId="25755376" w14:textId="77777777" w:rsidR="00225BAB" w:rsidRDefault="00225BAB">
      <w:r>
        <w:t>Dear Volkan,</w:t>
      </w:r>
    </w:p>
    <w:p w14:paraId="210FAB36" w14:textId="77777777" w:rsidR="00225BAB" w:rsidRDefault="00225BAB"/>
    <w:p w14:paraId="33DF1F0F" w14:textId="77777777" w:rsidR="001F28D3" w:rsidRDefault="001F28D3" w:rsidP="00902E8A">
      <w:r>
        <w:t xml:space="preserve">We would like to bring your attention to our urgent need of a Real-Time PCR Molecular Diagnostic system to increase the laboratory capacity to meet the increased test demand. </w:t>
      </w:r>
    </w:p>
    <w:p w14:paraId="43E77917" w14:textId="77777777" w:rsidR="003677B0" w:rsidRDefault="001F28D3" w:rsidP="00902E8A">
      <w:r>
        <w:t xml:space="preserve">We would like to inform you with the help of Asian Development Bank, we are procuring </w:t>
      </w:r>
      <w:r w:rsidR="003677B0">
        <w:t>one unit of</w:t>
      </w:r>
      <w:r>
        <w:t xml:space="preserve"> molecular testing system </w:t>
      </w:r>
      <w:r w:rsidR="003677B0">
        <w:t xml:space="preserve">Cobas6800 manufactured by Roche. Since these systems are in very high demand and very difficult to secure, we have achieved to obtain the offer for 2 items. </w:t>
      </w:r>
    </w:p>
    <w:p w14:paraId="3DAABF5D" w14:textId="119B8576" w:rsidR="00902E8A" w:rsidRPr="00902E8A" w:rsidRDefault="003677B0" w:rsidP="00902E8A">
      <w:r>
        <w:t>To follow the Bank’s guidance on approving the direct contracting, we have run a market</w:t>
      </w:r>
      <w:r w:rsidR="00902E8A">
        <w:t xml:space="preserve"> analysis for </w:t>
      </w:r>
      <w:r>
        <w:t xml:space="preserve">price analysis and requested quotations from the following items: </w:t>
      </w:r>
    </w:p>
    <w:tbl>
      <w:tblPr>
        <w:tblW w:w="5101" w:type="pct"/>
        <w:tblInd w:w="-18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4925"/>
        <w:gridCol w:w="2763"/>
      </w:tblGrid>
      <w:tr w:rsidR="00902E8A" w:rsidRPr="00902E8A" w14:paraId="07B23653"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3C739862" w14:textId="77777777" w:rsidR="00902E8A" w:rsidRPr="00902E8A" w:rsidRDefault="00902E8A" w:rsidP="00902E8A">
            <w:r w:rsidRPr="00902E8A">
              <w:rPr>
                <w:b/>
                <w:bCs/>
              </w:rPr>
              <w:t>Company Name</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p w14:paraId="39A9CD48" w14:textId="54F02FCC" w:rsidR="00902E8A" w:rsidRPr="00902E8A" w:rsidRDefault="003677B0" w:rsidP="00902E8A">
            <w:r>
              <w:rPr>
                <w:b/>
                <w:bCs/>
              </w:rPr>
              <w:t>Similar Models</w:t>
            </w:r>
          </w:p>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235094A" w14:textId="230E5BAF" w:rsidR="00902E8A" w:rsidRPr="00902E8A" w:rsidRDefault="00902E8A" w:rsidP="00902E8A">
            <w:r w:rsidRPr="00902E8A">
              <w:rPr>
                <w:b/>
                <w:bCs/>
              </w:rPr>
              <w:t xml:space="preserve">Estimated </w:t>
            </w:r>
            <w:r w:rsidR="003677B0">
              <w:rPr>
                <w:b/>
                <w:bCs/>
              </w:rPr>
              <w:t>Price</w:t>
            </w:r>
          </w:p>
        </w:tc>
      </w:tr>
      <w:tr w:rsidR="003677B0" w:rsidRPr="00902E8A" w14:paraId="3D1654AF"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5ADACAD8" w14:textId="69BAD1F9" w:rsidR="003677B0" w:rsidRPr="00902E8A" w:rsidRDefault="003677B0" w:rsidP="003677B0">
            <w:r>
              <w:rPr>
                <w:b/>
                <w:bCs/>
              </w:rPr>
              <w:t>Cepheid</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tbl>
            <w:tblPr>
              <w:tblW w:w="0" w:type="auto"/>
              <w:tblBorders>
                <w:top w:val="nil"/>
                <w:left w:val="nil"/>
                <w:bottom w:val="nil"/>
                <w:right w:val="nil"/>
              </w:tblBorders>
              <w:tblLook w:val="0000" w:firstRow="0" w:lastRow="0" w:firstColumn="0" w:lastColumn="0" w:noHBand="0" w:noVBand="0"/>
            </w:tblPr>
            <w:tblGrid>
              <w:gridCol w:w="1323"/>
              <w:gridCol w:w="856"/>
            </w:tblGrid>
            <w:tr w:rsidR="003677B0" w:rsidRPr="00BC4B67" w14:paraId="2DBD5CE8" w14:textId="77777777" w:rsidTr="00921A58">
              <w:trPr>
                <w:trHeight w:val="110"/>
              </w:trPr>
              <w:tc>
                <w:tcPr>
                  <w:tcW w:w="0" w:type="auto"/>
                </w:tcPr>
                <w:p w14:paraId="1BA88DB2" w14:textId="1A49A1D3" w:rsidR="003677B0" w:rsidRPr="00BC4B67" w:rsidRDefault="003677B0" w:rsidP="003677B0">
                  <w:pPr>
                    <w:pStyle w:val="Default"/>
                    <w:rPr>
                      <w:sz w:val="22"/>
                      <w:szCs w:val="22"/>
                    </w:rPr>
                  </w:pPr>
                  <w:r w:rsidRPr="00BC4B67">
                    <w:rPr>
                      <w:b/>
                      <w:bCs/>
                      <w:sz w:val="22"/>
                      <w:szCs w:val="22"/>
                    </w:rPr>
                    <w:t>Infinity-48S.</w:t>
                  </w:r>
                </w:p>
              </w:tc>
              <w:tc>
                <w:tcPr>
                  <w:tcW w:w="0" w:type="auto"/>
                </w:tcPr>
                <w:p w14:paraId="2C50AB03" w14:textId="15D1DD4B" w:rsidR="003677B0" w:rsidRPr="00BC4B67" w:rsidRDefault="003677B0" w:rsidP="003677B0">
                  <w:pPr>
                    <w:pStyle w:val="Default"/>
                    <w:rPr>
                      <w:sz w:val="22"/>
                      <w:szCs w:val="22"/>
                    </w:rPr>
                  </w:pPr>
                  <w:r w:rsidRPr="00BC4B67">
                    <w:rPr>
                      <w:b/>
                      <w:bCs/>
                      <w:sz w:val="22"/>
                      <w:szCs w:val="22"/>
                    </w:rPr>
                    <w:t>40sites</w:t>
                  </w:r>
                </w:p>
              </w:tc>
            </w:tr>
          </w:tbl>
          <w:p w14:paraId="16A49F42" w14:textId="4D08B288" w:rsidR="003677B0" w:rsidRPr="00902E8A" w:rsidRDefault="003677B0" w:rsidP="003677B0"/>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47E51D6" w14:textId="2F233E38" w:rsidR="003677B0" w:rsidRPr="00902E8A" w:rsidRDefault="003677B0" w:rsidP="003677B0">
            <w:r w:rsidRPr="00BC4B67">
              <w:t>364,000 EUR</w:t>
            </w:r>
          </w:p>
        </w:tc>
      </w:tr>
      <w:tr w:rsidR="003677B0" w:rsidRPr="00902E8A" w14:paraId="3272A6AA"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tcPr>
          <w:p w14:paraId="1E4E5D2B" w14:textId="61964777" w:rsidR="003677B0" w:rsidRDefault="003677B0" w:rsidP="003677B0">
            <w:pPr>
              <w:rPr>
                <w:b/>
                <w:bCs/>
              </w:rPr>
            </w:pPr>
            <w:r>
              <w:rPr>
                <w:b/>
                <w:bCs/>
              </w:rPr>
              <w:t>Cepheid</w:t>
            </w:r>
          </w:p>
        </w:tc>
        <w:tc>
          <w:tcPr>
            <w:tcW w:w="2583" w:type="pct"/>
            <w:tcBorders>
              <w:top w:val="single" w:sz="6" w:space="0" w:color="DFE6EC"/>
              <w:left w:val="outset" w:sz="6" w:space="0" w:color="auto"/>
              <w:bottom w:val="single" w:sz="4" w:space="0" w:color="auto"/>
              <w:right w:val="outset" w:sz="6" w:space="0" w:color="auto"/>
            </w:tcBorders>
            <w:shd w:val="clear" w:color="auto" w:fill="auto"/>
          </w:tcPr>
          <w:p w14:paraId="3F58F9A3" w14:textId="66A06980" w:rsidR="003677B0" w:rsidRPr="00BC4B67" w:rsidRDefault="003677B0" w:rsidP="003677B0">
            <w:pPr>
              <w:pStyle w:val="Default"/>
              <w:rPr>
                <w:b/>
                <w:bCs/>
                <w:sz w:val="22"/>
                <w:szCs w:val="22"/>
              </w:rPr>
            </w:pPr>
            <w:r w:rsidRPr="003677B0">
              <w:rPr>
                <w:b/>
                <w:bCs/>
                <w:sz w:val="22"/>
                <w:szCs w:val="22"/>
              </w:rPr>
              <w:t xml:space="preserve">Infinity-48S </w:t>
            </w:r>
            <w:r w:rsidRPr="003677B0">
              <w:rPr>
                <w:b/>
                <w:bCs/>
                <w:sz w:val="22"/>
                <w:szCs w:val="22"/>
              </w:rPr>
              <w:tab/>
              <w:t>48sites</w:t>
            </w:r>
          </w:p>
        </w:tc>
        <w:tc>
          <w:tcPr>
            <w:tcW w:w="1449" w:type="pct"/>
            <w:tcBorders>
              <w:top w:val="single" w:sz="6" w:space="0" w:color="DFE6EC"/>
              <w:left w:val="outset" w:sz="6" w:space="0" w:color="auto"/>
              <w:bottom w:val="outset" w:sz="6" w:space="0" w:color="auto"/>
              <w:right w:val="outset" w:sz="6" w:space="0" w:color="auto"/>
            </w:tcBorders>
            <w:shd w:val="clear" w:color="auto" w:fill="auto"/>
          </w:tcPr>
          <w:p w14:paraId="536DB2D6" w14:textId="37719A46" w:rsidR="003677B0" w:rsidRDefault="003677B0" w:rsidP="003677B0">
            <w:r w:rsidRPr="003677B0">
              <w:t>409,500 EUR</w:t>
            </w:r>
          </w:p>
        </w:tc>
      </w:tr>
      <w:tr w:rsidR="003677B0" w:rsidRPr="00902E8A" w14:paraId="79AAD427" w14:textId="77777777" w:rsidTr="00027604">
        <w:trPr>
          <w:trHeight w:val="510"/>
        </w:trPr>
        <w:tc>
          <w:tcPr>
            <w:tcW w:w="968" w:type="pct"/>
            <w:tcBorders>
              <w:top w:val="single" w:sz="6" w:space="0" w:color="DFE6EC"/>
              <w:left w:val="outset" w:sz="6" w:space="0" w:color="auto"/>
              <w:bottom w:val="outset" w:sz="6" w:space="0" w:color="auto"/>
              <w:right w:val="single" w:sz="4" w:space="0" w:color="auto"/>
            </w:tcBorders>
            <w:shd w:val="clear" w:color="auto" w:fill="auto"/>
            <w:hideMark/>
          </w:tcPr>
          <w:p w14:paraId="1CBBA487" w14:textId="3087B2BF" w:rsidR="003677B0" w:rsidRPr="00902E8A" w:rsidRDefault="003677B0" w:rsidP="003677B0">
            <w:r>
              <w:rPr>
                <w:b/>
                <w:bCs/>
              </w:rPr>
              <w:t>Cepheid</w:t>
            </w:r>
          </w:p>
        </w:tc>
        <w:tc>
          <w:tcPr>
            <w:tcW w:w="2583" w:type="pct"/>
            <w:tcBorders>
              <w:top w:val="single" w:sz="4" w:space="0" w:color="auto"/>
              <w:left w:val="single" w:sz="4" w:space="0" w:color="auto"/>
              <w:bottom w:val="single" w:sz="4" w:space="0" w:color="auto"/>
              <w:right w:val="single" w:sz="4" w:space="0" w:color="auto"/>
            </w:tcBorders>
            <w:shd w:val="clear" w:color="auto" w:fill="auto"/>
            <w:hideMark/>
          </w:tcPr>
          <w:tbl>
            <w:tblPr>
              <w:tblW w:w="0" w:type="auto"/>
              <w:tblBorders>
                <w:top w:val="nil"/>
                <w:left w:val="nil"/>
                <w:bottom w:val="nil"/>
                <w:right w:val="nil"/>
              </w:tblBorders>
              <w:tblLook w:val="0000" w:firstRow="0" w:lastRow="0" w:firstColumn="0" w:lastColumn="0" w:noHBand="0" w:noVBand="0"/>
            </w:tblPr>
            <w:tblGrid>
              <w:gridCol w:w="1958"/>
            </w:tblGrid>
            <w:tr w:rsidR="003677B0" w:rsidRPr="00BC4B67" w14:paraId="2BB0A044" w14:textId="77777777" w:rsidTr="00543C97">
              <w:trPr>
                <w:trHeight w:val="110"/>
              </w:trPr>
              <w:tc>
                <w:tcPr>
                  <w:tcW w:w="0" w:type="auto"/>
                </w:tcPr>
                <w:p w14:paraId="1CB7D613" w14:textId="782FB436" w:rsidR="003677B0" w:rsidRPr="00BC4B67" w:rsidRDefault="003677B0" w:rsidP="003677B0">
                  <w:pPr>
                    <w:pStyle w:val="Default"/>
                    <w:rPr>
                      <w:sz w:val="22"/>
                      <w:szCs w:val="22"/>
                    </w:rPr>
                  </w:pPr>
                  <w:r w:rsidRPr="00E06C2C">
                    <w:t>I</w:t>
                  </w:r>
                  <w:bookmarkStart w:id="0" w:name="_GoBack"/>
                  <w:bookmarkEnd w:id="0"/>
                  <w:r w:rsidRPr="00E06C2C">
                    <w:t>nfinity-80 64sites</w:t>
                  </w:r>
                </w:p>
              </w:tc>
            </w:tr>
          </w:tbl>
          <w:p w14:paraId="65A3988C" w14:textId="61B5F654" w:rsidR="003677B0" w:rsidRPr="00902E8A" w:rsidRDefault="003677B0" w:rsidP="003677B0"/>
        </w:tc>
        <w:tc>
          <w:tcPr>
            <w:tcW w:w="1449" w:type="pct"/>
            <w:tcBorders>
              <w:top w:val="single" w:sz="6" w:space="0" w:color="DFE6EC"/>
              <w:left w:val="single" w:sz="4" w:space="0" w:color="auto"/>
              <w:bottom w:val="outset" w:sz="6" w:space="0" w:color="auto"/>
              <w:right w:val="outset" w:sz="6" w:space="0" w:color="auto"/>
            </w:tcBorders>
            <w:shd w:val="clear" w:color="auto" w:fill="auto"/>
            <w:hideMark/>
          </w:tcPr>
          <w:p w14:paraId="502013F7" w14:textId="501F7E84" w:rsidR="003677B0" w:rsidRPr="00902E8A" w:rsidRDefault="00027604" w:rsidP="003677B0">
            <w:r w:rsidRPr="00027604">
              <w:t>559,000 EUR</w:t>
            </w:r>
          </w:p>
        </w:tc>
      </w:tr>
      <w:tr w:rsidR="003677B0" w:rsidRPr="00902E8A" w14:paraId="7451586C"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2999CBD0" w14:textId="49E36D40" w:rsidR="003677B0" w:rsidRPr="00902E8A" w:rsidRDefault="003677B0" w:rsidP="003677B0">
            <w:r>
              <w:rPr>
                <w:b/>
                <w:bCs/>
              </w:rPr>
              <w:t>Cepheid</w:t>
            </w:r>
          </w:p>
        </w:tc>
        <w:tc>
          <w:tcPr>
            <w:tcW w:w="2583" w:type="pct"/>
            <w:tcBorders>
              <w:top w:val="single" w:sz="4" w:space="0" w:color="auto"/>
              <w:left w:val="outset" w:sz="6" w:space="0" w:color="auto"/>
              <w:bottom w:val="outset" w:sz="6" w:space="0" w:color="auto"/>
              <w:right w:val="outset" w:sz="6" w:space="0" w:color="auto"/>
            </w:tcBorders>
            <w:shd w:val="clear" w:color="auto" w:fill="auto"/>
            <w:hideMark/>
          </w:tcPr>
          <w:p w14:paraId="459FAF22" w14:textId="77777777" w:rsidR="003677B0" w:rsidRPr="003677B0" w:rsidRDefault="003677B0" w:rsidP="003677B0">
            <w:r w:rsidRPr="003677B0">
              <w:t>Infinity-80 64sites</w:t>
            </w:r>
          </w:p>
          <w:p w14:paraId="0C2CB6EB" w14:textId="23C3C8D5" w:rsidR="003677B0" w:rsidRPr="00902E8A" w:rsidRDefault="003677B0" w:rsidP="003677B0"/>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2A720C5F" w14:textId="697C7797" w:rsidR="003677B0" w:rsidRPr="00902E8A" w:rsidRDefault="003677B0" w:rsidP="003677B0">
            <w:r>
              <w:t>604,500 EUR</w:t>
            </w:r>
          </w:p>
        </w:tc>
      </w:tr>
      <w:tr w:rsidR="003677B0" w:rsidRPr="00902E8A" w14:paraId="112BDE28"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7EB2EDCB" w14:textId="3EAD4CC1" w:rsidR="003677B0" w:rsidRPr="00902E8A" w:rsidRDefault="003677B0" w:rsidP="003677B0">
            <w:pPr>
              <w:rPr>
                <w:b/>
                <w:bCs/>
              </w:rPr>
            </w:pPr>
            <w:r>
              <w:rPr>
                <w:b/>
                <w:bCs/>
              </w:rPr>
              <w:t>Abbott</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p w14:paraId="315974C4" w14:textId="47EE983F" w:rsidR="003677B0" w:rsidRPr="00902E8A" w:rsidRDefault="003677B0" w:rsidP="003677B0">
            <w:r w:rsidRPr="003677B0">
              <w:t xml:space="preserve">Abbott m2000 </w:t>
            </w:r>
            <w:proofErr w:type="spellStart"/>
            <w:r w:rsidRPr="003677B0">
              <w:t>RealTime</w:t>
            </w:r>
            <w:proofErr w:type="spellEnd"/>
            <w:r w:rsidRPr="003677B0">
              <w:t xml:space="preserve"> System</w:t>
            </w:r>
          </w:p>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FE14BF5" w14:textId="0E4D715A" w:rsidR="003677B0" w:rsidRPr="00902E8A" w:rsidRDefault="003677B0" w:rsidP="003677B0">
            <w:r>
              <w:t>Could not obtain the quote</w:t>
            </w:r>
          </w:p>
        </w:tc>
      </w:tr>
      <w:tr w:rsidR="003677B0" w:rsidRPr="00902E8A" w14:paraId="5EB99585" w14:textId="77777777" w:rsidTr="00027604">
        <w:tc>
          <w:tcPr>
            <w:tcW w:w="968" w:type="pct"/>
            <w:tcBorders>
              <w:top w:val="single" w:sz="6" w:space="0" w:color="DFE6EC"/>
              <w:left w:val="outset" w:sz="6" w:space="0" w:color="auto"/>
              <w:bottom w:val="outset" w:sz="6" w:space="0" w:color="auto"/>
              <w:right w:val="outset" w:sz="6" w:space="0" w:color="auto"/>
            </w:tcBorders>
            <w:shd w:val="clear" w:color="auto" w:fill="auto"/>
            <w:hideMark/>
          </w:tcPr>
          <w:p w14:paraId="5AF66A70" w14:textId="53A40399" w:rsidR="003677B0" w:rsidRPr="00902E8A" w:rsidRDefault="00027604" w:rsidP="003677B0">
            <w:pPr>
              <w:rPr>
                <w:b/>
                <w:bCs/>
              </w:rPr>
            </w:pPr>
            <w:r w:rsidRPr="00027604">
              <w:rPr>
                <w:b/>
                <w:bCs/>
              </w:rPr>
              <w:t>Beckman Coulter</w:t>
            </w:r>
          </w:p>
        </w:tc>
        <w:tc>
          <w:tcPr>
            <w:tcW w:w="2583" w:type="pct"/>
            <w:tcBorders>
              <w:top w:val="single" w:sz="6" w:space="0" w:color="DFE6EC"/>
              <w:left w:val="outset" w:sz="6" w:space="0" w:color="auto"/>
              <w:bottom w:val="outset" w:sz="6" w:space="0" w:color="auto"/>
              <w:right w:val="outset" w:sz="6" w:space="0" w:color="auto"/>
            </w:tcBorders>
            <w:shd w:val="clear" w:color="auto" w:fill="auto"/>
            <w:hideMark/>
          </w:tcPr>
          <w:p w14:paraId="3A5E3696" w14:textId="6B4ECC9F" w:rsidR="003677B0" w:rsidRPr="00902E8A" w:rsidRDefault="00027604" w:rsidP="003677B0">
            <w:proofErr w:type="spellStart"/>
            <w:r w:rsidRPr="00027604">
              <w:t>DxN</w:t>
            </w:r>
            <w:proofErr w:type="spellEnd"/>
            <w:r w:rsidRPr="00027604">
              <w:t xml:space="preserve"> VERIS Molecular Diagnostics System</w:t>
            </w:r>
          </w:p>
        </w:tc>
        <w:tc>
          <w:tcPr>
            <w:tcW w:w="1449" w:type="pct"/>
            <w:tcBorders>
              <w:top w:val="single" w:sz="6" w:space="0" w:color="DFE6EC"/>
              <w:left w:val="outset" w:sz="6" w:space="0" w:color="auto"/>
              <w:bottom w:val="outset" w:sz="6" w:space="0" w:color="auto"/>
              <w:right w:val="outset" w:sz="6" w:space="0" w:color="auto"/>
            </w:tcBorders>
            <w:shd w:val="clear" w:color="auto" w:fill="auto"/>
            <w:hideMark/>
          </w:tcPr>
          <w:p w14:paraId="4B60E18C" w14:textId="26377AEB" w:rsidR="003677B0" w:rsidRPr="00902E8A" w:rsidRDefault="00027604" w:rsidP="003677B0">
            <w:r>
              <w:t>Could not obtain the quote</w:t>
            </w:r>
          </w:p>
        </w:tc>
      </w:tr>
    </w:tbl>
    <w:p w14:paraId="11D02ED4" w14:textId="0D854B0C" w:rsidR="00902E8A" w:rsidRDefault="00902E8A"/>
    <w:p w14:paraId="607CC04F" w14:textId="77777777" w:rsidR="00027604" w:rsidRDefault="00027604">
      <w:r>
        <w:t>In addition, we would like to emphasize that although Georgian Laboratories utilize the testing systems from Cepheid, currently the cartridges are in great deficit as well as more expensive that one of the Cobas6800. Please refer to the price comparison:</w:t>
      </w:r>
    </w:p>
    <w:tbl>
      <w:tblPr>
        <w:tblStyle w:val="TableGrid"/>
        <w:tblW w:w="0" w:type="auto"/>
        <w:tblLook w:val="04A0" w:firstRow="1" w:lastRow="0" w:firstColumn="1" w:lastColumn="0" w:noHBand="0" w:noVBand="1"/>
      </w:tblPr>
      <w:tblGrid>
        <w:gridCol w:w="4675"/>
        <w:gridCol w:w="4675"/>
      </w:tblGrid>
      <w:tr w:rsidR="00027604" w14:paraId="51BD1209" w14:textId="77777777" w:rsidTr="00027604">
        <w:tc>
          <w:tcPr>
            <w:tcW w:w="4675" w:type="dxa"/>
          </w:tcPr>
          <w:p w14:paraId="3535381C" w14:textId="1F1AD549" w:rsidR="00027604" w:rsidRDefault="00027604">
            <w:r>
              <w:t>Test</w:t>
            </w:r>
          </w:p>
        </w:tc>
        <w:tc>
          <w:tcPr>
            <w:tcW w:w="4675" w:type="dxa"/>
          </w:tcPr>
          <w:p w14:paraId="55B667E8" w14:textId="3FABAB1D" w:rsidR="00027604" w:rsidRDefault="00027604">
            <w:r>
              <w:t>Price</w:t>
            </w:r>
          </w:p>
        </w:tc>
      </w:tr>
      <w:tr w:rsidR="00027604" w14:paraId="1F04E956" w14:textId="77777777" w:rsidTr="00027604">
        <w:tc>
          <w:tcPr>
            <w:tcW w:w="4675" w:type="dxa"/>
          </w:tcPr>
          <w:p w14:paraId="5D69CC8B" w14:textId="01CE21A7" w:rsidR="00027604" w:rsidRDefault="00027604" w:rsidP="00027604">
            <w:proofErr w:type="spellStart"/>
            <w:r>
              <w:t>Xpert</w:t>
            </w:r>
            <w:proofErr w:type="spellEnd"/>
            <w:r>
              <w:t xml:space="preserve"> Xpress SARS-CoV2+Nasopharyngeal Swab Kit (cepheid)</w:t>
            </w:r>
          </w:p>
        </w:tc>
        <w:tc>
          <w:tcPr>
            <w:tcW w:w="4675" w:type="dxa"/>
          </w:tcPr>
          <w:p w14:paraId="3ED8D234" w14:textId="49C5D60C" w:rsidR="00027604" w:rsidRDefault="00027604">
            <w:r>
              <w:t>39 EUR</w:t>
            </w:r>
          </w:p>
        </w:tc>
      </w:tr>
      <w:tr w:rsidR="00027604" w14:paraId="66726EA7" w14:textId="77777777" w:rsidTr="00027604">
        <w:tc>
          <w:tcPr>
            <w:tcW w:w="4675" w:type="dxa"/>
          </w:tcPr>
          <w:p w14:paraId="1A7856EB" w14:textId="7A8B2FF0" w:rsidR="00027604" w:rsidRDefault="003D2672">
            <w:r>
              <w:t>Reagents for one test</w:t>
            </w:r>
          </w:p>
        </w:tc>
        <w:tc>
          <w:tcPr>
            <w:tcW w:w="4675" w:type="dxa"/>
          </w:tcPr>
          <w:p w14:paraId="15AB4493" w14:textId="4311A97D" w:rsidR="00027604" w:rsidRDefault="00027604">
            <w:r>
              <w:t>25 EUR</w:t>
            </w:r>
          </w:p>
        </w:tc>
      </w:tr>
    </w:tbl>
    <w:p w14:paraId="3B985107" w14:textId="77777777" w:rsidR="00027604" w:rsidRDefault="00027604"/>
    <w:p w14:paraId="295DCE8E" w14:textId="77777777" w:rsidR="00027604" w:rsidRDefault="00027604"/>
    <w:p w14:paraId="312EF7B1" w14:textId="4AE3D73B" w:rsidR="004F48D9" w:rsidRDefault="004F48D9" w:rsidP="004F48D9">
      <w:pPr>
        <w:rPr>
          <w:lang w:val="en"/>
        </w:rPr>
      </w:pPr>
      <w:r>
        <w:rPr>
          <w:lang w:val="en"/>
        </w:rPr>
        <w:lastRenderedPageBreak/>
        <w:t xml:space="preserve">Considering the urgent need, we are also satisfied with the delivery terms of the proposed items. First </w:t>
      </w:r>
      <w:r w:rsidR="00BE678F">
        <w:rPr>
          <w:lang w:val="en"/>
        </w:rPr>
        <w:t>item</w:t>
      </w:r>
      <w:r>
        <w:rPr>
          <w:lang w:val="en"/>
        </w:rPr>
        <w:t xml:space="preserve"> will be delivered in </w:t>
      </w:r>
      <w:r w:rsidR="00BE678F">
        <w:rPr>
          <w:lang w:val="en"/>
        </w:rPr>
        <w:t>third quarter of 2020</w:t>
      </w:r>
      <w:r>
        <w:rPr>
          <w:lang w:val="en"/>
        </w:rPr>
        <w:t xml:space="preserve">. </w:t>
      </w:r>
    </w:p>
    <w:p w14:paraId="150BBFF4" w14:textId="4E68F5D4" w:rsidR="004F48D9" w:rsidRDefault="004F48D9" w:rsidP="004F48D9">
      <w:pPr>
        <w:rPr>
          <w:lang w:val="en"/>
        </w:rPr>
      </w:pPr>
      <w:r>
        <w:rPr>
          <w:lang w:val="en"/>
        </w:rPr>
        <w:t xml:space="preserve">In the light of above, we would like to kindly request the Bank’s No Objection to proceed with direct contracting with </w:t>
      </w:r>
      <w:r w:rsidR="00BE678F" w:rsidRPr="00BE678F">
        <w:rPr>
          <w:lang w:val="en"/>
        </w:rPr>
        <w:t xml:space="preserve">Roche Diagnostics Turkey A.Ş. </w:t>
      </w:r>
      <w:r w:rsidR="00BE678F">
        <w:rPr>
          <w:lang w:val="en"/>
        </w:rPr>
        <w:t>for 1 unit of Real-Rime PCR Molecular Diagnostic system</w:t>
      </w:r>
      <w:r w:rsidR="00482B74">
        <w:rPr>
          <w:lang w:val="en"/>
        </w:rPr>
        <w:t xml:space="preserve"> with the total price of </w:t>
      </w:r>
      <w:r w:rsidR="00BE678F">
        <w:rPr>
          <w:lang w:val="en"/>
        </w:rPr>
        <w:t>EUR 460,000</w:t>
      </w:r>
      <w:r w:rsidR="00482B74">
        <w:rPr>
          <w:lang w:val="en"/>
        </w:rPr>
        <w:t>.</w:t>
      </w:r>
    </w:p>
    <w:p w14:paraId="6601CD61" w14:textId="6E30EC1C" w:rsidR="00482B74" w:rsidRDefault="00482B74" w:rsidP="004F48D9">
      <w:pPr>
        <w:rPr>
          <w:lang w:val="en"/>
        </w:rPr>
      </w:pPr>
    </w:p>
    <w:p w14:paraId="65DEE142" w14:textId="1C8CE446" w:rsidR="00482B74" w:rsidRPr="004F48D9" w:rsidRDefault="00482B74" w:rsidP="004F48D9">
      <w:r>
        <w:rPr>
          <w:lang w:val="en"/>
        </w:rPr>
        <w:t xml:space="preserve">Enclosed: </w:t>
      </w:r>
      <w:r w:rsidR="00BE678F" w:rsidRPr="00BE678F">
        <w:rPr>
          <w:lang w:val="en"/>
        </w:rPr>
        <w:t>Roche Diagnostics Turkey A.Ş.</w:t>
      </w:r>
      <w:r w:rsidR="00BE678F">
        <w:rPr>
          <w:lang w:val="en"/>
        </w:rPr>
        <w:t xml:space="preserve"> -invoice and email communication</w:t>
      </w:r>
      <w:r>
        <w:rPr>
          <w:lang w:val="en"/>
        </w:rPr>
        <w:t xml:space="preserve">. </w:t>
      </w:r>
    </w:p>
    <w:p w14:paraId="738C3AE4" w14:textId="5A2C135B" w:rsidR="004F48D9" w:rsidRDefault="004F48D9"/>
    <w:sectPr w:rsidR="004F4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A39"/>
    <w:multiLevelType w:val="hybridMultilevel"/>
    <w:tmpl w:val="BC86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7732"/>
    <w:multiLevelType w:val="hybridMultilevel"/>
    <w:tmpl w:val="ECC00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85"/>
    <w:rsid w:val="00027604"/>
    <w:rsid w:val="001F28D3"/>
    <w:rsid w:val="00225BAB"/>
    <w:rsid w:val="003677B0"/>
    <w:rsid w:val="003D2672"/>
    <w:rsid w:val="00482B74"/>
    <w:rsid w:val="004F48D9"/>
    <w:rsid w:val="00902E8A"/>
    <w:rsid w:val="009B6270"/>
    <w:rsid w:val="009C2B85"/>
    <w:rsid w:val="00B26E5E"/>
    <w:rsid w:val="00BE678F"/>
    <w:rsid w:val="00C274A2"/>
    <w:rsid w:val="00D6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57A0"/>
  <w15:chartTrackingRefBased/>
  <w15:docId w15:val="{282B2BE4-B8E6-4DFC-8B75-8EC5DC4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BAB"/>
    <w:pPr>
      <w:ind w:left="720"/>
      <w:contextualSpacing/>
    </w:pPr>
  </w:style>
  <w:style w:type="character" w:styleId="Hyperlink">
    <w:name w:val="Hyperlink"/>
    <w:basedOn w:val="DefaultParagraphFont"/>
    <w:uiPriority w:val="99"/>
    <w:unhideWhenUsed/>
    <w:rsid w:val="00902E8A"/>
    <w:rPr>
      <w:color w:val="0563C1" w:themeColor="hyperlink"/>
      <w:u w:val="single"/>
    </w:rPr>
  </w:style>
  <w:style w:type="character" w:customStyle="1" w:styleId="UnresolvedMention">
    <w:name w:val="Unresolved Mention"/>
    <w:basedOn w:val="DefaultParagraphFont"/>
    <w:uiPriority w:val="99"/>
    <w:semiHidden/>
    <w:unhideWhenUsed/>
    <w:rsid w:val="00902E8A"/>
    <w:rPr>
      <w:color w:val="605E5C"/>
      <w:shd w:val="clear" w:color="auto" w:fill="E1DFDD"/>
    </w:rPr>
  </w:style>
  <w:style w:type="table" w:styleId="TableGrid">
    <w:name w:val="Table Grid"/>
    <w:basedOn w:val="TableNormal"/>
    <w:uiPriority w:val="39"/>
    <w:rsid w:val="004F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F48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48D9"/>
    <w:rPr>
      <w:rFonts w:ascii="Consolas" w:hAnsi="Consolas"/>
      <w:sz w:val="20"/>
      <w:szCs w:val="20"/>
    </w:rPr>
  </w:style>
  <w:style w:type="paragraph" w:customStyle="1" w:styleId="Default">
    <w:name w:val="Default"/>
    <w:rsid w:val="003677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496974">
      <w:bodyDiv w:val="1"/>
      <w:marLeft w:val="0"/>
      <w:marRight w:val="0"/>
      <w:marTop w:val="0"/>
      <w:marBottom w:val="0"/>
      <w:divBdr>
        <w:top w:val="none" w:sz="0" w:space="0" w:color="auto"/>
        <w:left w:val="none" w:sz="0" w:space="0" w:color="auto"/>
        <w:bottom w:val="none" w:sz="0" w:space="0" w:color="auto"/>
        <w:right w:val="none" w:sz="0" w:space="0" w:color="auto"/>
      </w:divBdr>
    </w:div>
    <w:div w:id="1382555168">
      <w:bodyDiv w:val="1"/>
      <w:marLeft w:val="0"/>
      <w:marRight w:val="0"/>
      <w:marTop w:val="0"/>
      <w:marBottom w:val="0"/>
      <w:divBdr>
        <w:top w:val="none" w:sz="0" w:space="0" w:color="auto"/>
        <w:left w:val="none" w:sz="0" w:space="0" w:color="auto"/>
        <w:bottom w:val="none" w:sz="0" w:space="0" w:color="auto"/>
        <w:right w:val="none" w:sz="0" w:space="0" w:color="auto"/>
      </w:divBdr>
    </w:div>
    <w:div w:id="196099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Maia Nikoleishvili</cp:lastModifiedBy>
  <cp:revision>2</cp:revision>
  <dcterms:created xsi:type="dcterms:W3CDTF">2020-05-22T15:39:00Z</dcterms:created>
  <dcterms:modified xsi:type="dcterms:W3CDTF">2020-05-22T15:39:00Z</dcterms:modified>
</cp:coreProperties>
</file>